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50" w:rsidRPr="00272AD1" w:rsidRDefault="008A23EE">
      <w:pPr>
        <w:pStyle w:val="Gvdemetni21"/>
        <w:shd w:val="clear" w:color="auto" w:fill="auto"/>
        <w:spacing w:after="276" w:line="312" w:lineRule="exact"/>
        <w:ind w:left="40"/>
        <w:rPr>
          <w:b/>
        </w:rPr>
      </w:pPr>
      <w:r w:rsidRPr="00272AD1">
        <w:rPr>
          <w:b/>
        </w:rPr>
        <w:t xml:space="preserve">AYVA ATEŞ YANIKLIĞI GEÇİCİ TAVSİYE </w:t>
      </w:r>
    </w:p>
    <w:p w:rsidR="00F33450" w:rsidRPr="00272AD1" w:rsidRDefault="00D30ADD">
      <w:pPr>
        <w:pStyle w:val="Gvdemetni30"/>
        <w:shd w:val="clear" w:color="auto" w:fill="auto"/>
        <w:spacing w:before="0"/>
      </w:pPr>
      <w:r w:rsidRPr="00272AD1">
        <w:rPr>
          <w:rStyle w:val="Gvdemetni3talikdeil"/>
        </w:rPr>
        <w:t>Bitki koruma ürünlerinde geçici tavsiye ile ilgili hususlar, 9 Kasım 2017 tarihinde Resmi Gazete’de yayımlanan “</w:t>
      </w:r>
      <w:r w:rsidRPr="00272AD1">
        <w:t>Bitki Koruma Ürünlerinin Ruhsatlandırılması ve Piyasaya Arzı Hakkındaki Yönetmelik</w:t>
      </w:r>
      <w:r w:rsidRPr="00272AD1">
        <w:rPr>
          <w:rStyle w:val="Gvdemetni3talikdeil"/>
        </w:rPr>
        <w:t>’ hükümlerinin 7. maddesinin 1. fıkrasında “</w:t>
      </w:r>
      <w:r w:rsidRPr="00272AD1">
        <w:t>Herhangi bir bitkisel üründe ekonomik zarara neden olan bir zararlı organizma için teknik talimatının veya ruhsatlı bitki koruma ürününün bulunmaması durumunda Genel Müdürlük tarafından bitki koruma ürünlerine geçici olarak üretim sezonunda sınırlı ve kontrollü kullanılması şartıyla en fazla 120 gün süreyle kullanım izni verilebilir.”</w:t>
      </w:r>
      <w:r w:rsidRPr="00272AD1">
        <w:rPr>
          <w:rStyle w:val="Gvdemetni3talikdeil"/>
        </w:rPr>
        <w:t xml:space="preserve"> belirtilmektedir.</w:t>
      </w:r>
    </w:p>
    <w:p w:rsidR="00F33450" w:rsidRPr="00272AD1" w:rsidRDefault="00D30ADD">
      <w:pPr>
        <w:pStyle w:val="Gvdemetni21"/>
        <w:shd w:val="clear" w:color="auto" w:fill="auto"/>
        <w:spacing w:line="317" w:lineRule="exact"/>
        <w:ind w:firstLine="780"/>
        <w:jc w:val="both"/>
      </w:pPr>
      <w:r w:rsidRPr="00272AD1">
        <w:t xml:space="preserve">Bu kapsamda, Denizli Gıda Tarım ve Hayvancılık İl Müdürlüğü'nün talebi ile ilgi (b) ‘de kayıtlı yazımız ile verilen Ayvada Ateş yanıklığı </w:t>
      </w:r>
      <w:r w:rsidRPr="00272AD1">
        <w:rPr>
          <w:rStyle w:val="Gvdemetni2Kalntalik"/>
        </w:rPr>
        <w:t>(</w:t>
      </w:r>
      <w:r w:rsidRPr="00272AD1">
        <w:rPr>
          <w:rStyle w:val="Gvdemetni2talik"/>
        </w:rPr>
        <w:t>Erwinia amylovora</w:t>
      </w:r>
      <w:r w:rsidRPr="00272AD1">
        <w:rPr>
          <w:rStyle w:val="Gvdemetni2Kalntalik"/>
        </w:rPr>
        <w:t>)</w:t>
      </w:r>
      <w:r w:rsidRPr="00272AD1">
        <w:t xml:space="preserve"> hastalığına karşı geçici bitki koruma ürünü tavsiyesi </w:t>
      </w:r>
      <w:r w:rsidRPr="00272AD1">
        <w:rPr>
          <w:rStyle w:val="Gvdemetni2Kalntalik1"/>
        </w:rPr>
        <w:t>24.03.2018 tarihinde sona erecektir</w:t>
      </w:r>
      <w:r w:rsidRPr="00272AD1">
        <w:rPr>
          <w:rStyle w:val="Gvdemetni2Kalntalik"/>
        </w:rPr>
        <w:t>.</w:t>
      </w:r>
      <w:r w:rsidRPr="00272AD1">
        <w:t xml:space="preserve"> Ancak, hastalıkla ilgili durumun devam etmesi, mücadele için sezonun kaçırılmaması ve üreticilerin mağdur olmaması gerekçesiyle Denizli Gıda Tarım ve Hayvancılık İl Müdürlüğü'nün ilgi (c)' de kayıtlı yazısı ile Bornova Zirai Mücadele Araştırma Enstitüsü Müdürlüğü’ne durum iletilmiş olup, diğer enstitü görüşlerinin</w:t>
      </w:r>
      <w:r w:rsidR="008A23EE" w:rsidRPr="00272AD1">
        <w:t xml:space="preserve"> </w:t>
      </w:r>
      <w:r w:rsidRPr="00272AD1">
        <w:t xml:space="preserve">de alındığı geçici tavsiyeye konu </w:t>
      </w:r>
      <w:r w:rsidRPr="00272AD1">
        <w:rPr>
          <w:rStyle w:val="Gvdemetni2talik1"/>
        </w:rPr>
        <w:t>05.10.2015 tarih ve 2256 sayılı yazıy</w:t>
      </w:r>
      <w:r w:rsidRPr="00272AD1">
        <w:rPr>
          <w:rStyle w:val="Gvdemetni2talik"/>
        </w:rPr>
        <w:t>ı</w:t>
      </w:r>
      <w:r w:rsidRPr="00272AD1">
        <w:t xml:space="preserve"> ilgi tutarak yazıda belirtilen rapor ile aktif madde listesinin aynı kalacak şekilde yeniden geçici tavsiye verilmesi talebi Bakanlığımıza bildirilmiş olup, Ayvada Ateş yanıklığı </w:t>
      </w:r>
      <w:r w:rsidRPr="00272AD1">
        <w:rPr>
          <w:rStyle w:val="Gvdemetni2Kalntalik"/>
        </w:rPr>
        <w:t>(</w:t>
      </w:r>
      <w:r w:rsidRPr="00272AD1">
        <w:rPr>
          <w:rStyle w:val="Gvdemetni2talik"/>
        </w:rPr>
        <w:t>Erwinia amylovora</w:t>
      </w:r>
      <w:r w:rsidRPr="00272AD1">
        <w:rPr>
          <w:rStyle w:val="Gvdemetni2Kalntalik"/>
        </w:rPr>
        <w:t>)</w:t>
      </w:r>
      <w:r w:rsidRPr="00272AD1">
        <w:t xml:space="preserve"> hastalığına karşı mücadelede önerilen geçici tavsiye bitki koruma ürünü listesi </w:t>
      </w:r>
      <w:r w:rsidRPr="00272AD1">
        <w:rPr>
          <w:rStyle w:val="Gvdemetni2Kalntalik1"/>
        </w:rPr>
        <w:t>24.03.2018 tarihi itibariyle</w:t>
      </w:r>
      <w:r w:rsidRPr="00272AD1">
        <w:t xml:space="preserve"> 120 gün süreyle geçerli olmak kaydıyla </w:t>
      </w:r>
      <w:r w:rsidR="008A23EE" w:rsidRPr="00272AD1">
        <w:t>yazımız ekindedir.</w:t>
      </w:r>
    </w:p>
    <w:p w:rsidR="00F33450" w:rsidRPr="00272AD1" w:rsidRDefault="008A23EE" w:rsidP="008A23EE">
      <w:pPr>
        <w:pStyle w:val="Gvdemetni21"/>
        <w:shd w:val="clear" w:color="auto" w:fill="auto"/>
        <w:spacing w:line="317" w:lineRule="exact"/>
        <w:ind w:firstLine="780"/>
        <w:jc w:val="both"/>
      </w:pPr>
      <w:r w:rsidRPr="00272AD1">
        <w:t xml:space="preserve"> Y</w:t>
      </w:r>
      <w:r w:rsidR="00D30ADD" w:rsidRPr="00272AD1">
        <w:t xml:space="preserve">ukarıda belirtilen etmenlerin görülmesi durumunda, önerilen BKÜ’nün mer’i mevzuat hükümlerinde belirtilen 120 günlük kullanım süresine dikkat edilerek, Ayvada Ateş yanıklığı </w:t>
      </w:r>
      <w:r w:rsidR="00D30ADD" w:rsidRPr="00272AD1">
        <w:rPr>
          <w:rStyle w:val="Gvdemetni2Kalntalik"/>
        </w:rPr>
        <w:t>(</w:t>
      </w:r>
      <w:r w:rsidR="00D30ADD" w:rsidRPr="00272AD1">
        <w:rPr>
          <w:rStyle w:val="Gvdemetni2talik"/>
        </w:rPr>
        <w:t>Erwinia amylovora</w:t>
      </w:r>
      <w:r w:rsidR="00D30ADD" w:rsidRPr="00272AD1">
        <w:rPr>
          <w:rStyle w:val="Gvdemetni2Kalntalik"/>
        </w:rPr>
        <w:t>)</w:t>
      </w:r>
      <w:r w:rsidR="00D30ADD" w:rsidRPr="00272AD1">
        <w:t xml:space="preserve"> hastalığına karşı reçetelendirilerek kullandırılması </w:t>
      </w:r>
      <w:r w:rsidRPr="00272AD1">
        <w:t>Bakanlığımız tarafından uygun bulunmuştur.</w:t>
      </w: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568"/>
        <w:gridCol w:w="1410"/>
        <w:gridCol w:w="1106"/>
        <w:gridCol w:w="1135"/>
        <w:gridCol w:w="1560"/>
        <w:gridCol w:w="3262"/>
      </w:tblGrid>
      <w:tr w:rsidR="00272AD1" w:rsidRPr="00272AD1" w:rsidTr="00272AD1">
        <w:tc>
          <w:tcPr>
            <w:tcW w:w="1164"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b/>
                <w:color w:val="auto"/>
              </w:rPr>
            </w:pPr>
            <w:r w:rsidRPr="00272AD1">
              <w:rPr>
                <w:rFonts w:ascii="Times New Roman" w:hAnsi="Times New Roman" w:cs="Times New Roman"/>
                <w:b/>
              </w:rPr>
              <w:t>Bitki ve Etmen adı</w:t>
            </w:r>
          </w:p>
        </w:tc>
        <w:tc>
          <w:tcPr>
            <w:tcW w:w="1568"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b/>
              </w:rPr>
            </w:pPr>
            <w:r w:rsidRPr="00272AD1">
              <w:rPr>
                <w:rFonts w:ascii="Times New Roman" w:hAnsi="Times New Roman" w:cs="Times New Roman"/>
                <w:b/>
              </w:rPr>
              <w:t>Aktif Madde Adı</w:t>
            </w:r>
          </w:p>
        </w:tc>
        <w:tc>
          <w:tcPr>
            <w:tcW w:w="1409"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b/>
              </w:rPr>
            </w:pPr>
            <w:r w:rsidRPr="00272AD1">
              <w:rPr>
                <w:rFonts w:ascii="Times New Roman" w:hAnsi="Times New Roman" w:cs="Times New Roman"/>
                <w:b/>
              </w:rPr>
              <w:t>Formulasyon</w:t>
            </w:r>
          </w:p>
        </w:tc>
        <w:tc>
          <w:tcPr>
            <w:tcW w:w="1105"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b/>
              </w:rPr>
            </w:pPr>
            <w:r w:rsidRPr="00272AD1">
              <w:rPr>
                <w:rFonts w:ascii="Times New Roman" w:hAnsi="Times New Roman" w:cs="Times New Roman"/>
                <w:b/>
              </w:rPr>
              <w:t>Doz (100 L suya)</w:t>
            </w:r>
          </w:p>
        </w:tc>
        <w:tc>
          <w:tcPr>
            <w:tcW w:w="1134"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b/>
              </w:rPr>
            </w:pPr>
            <w:r w:rsidRPr="00272AD1">
              <w:rPr>
                <w:rFonts w:ascii="Times New Roman" w:hAnsi="Times New Roman" w:cs="Times New Roman"/>
                <w:b/>
              </w:rPr>
              <w:t>Son İlaçlama ile hasat arasındaki süre (gün)</w:t>
            </w:r>
          </w:p>
        </w:tc>
        <w:tc>
          <w:tcPr>
            <w:tcW w:w="1559"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b/>
              </w:rPr>
            </w:pPr>
            <w:r w:rsidRPr="00272AD1">
              <w:rPr>
                <w:rFonts w:ascii="Times New Roman" w:hAnsi="Times New Roman" w:cs="Times New Roman"/>
                <w:b/>
              </w:rPr>
              <w:t>MRL Değeri (mg/kg)</w:t>
            </w:r>
          </w:p>
        </w:tc>
        <w:tc>
          <w:tcPr>
            <w:tcW w:w="3260"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b/>
              </w:rPr>
            </w:pPr>
            <w:r w:rsidRPr="00272AD1">
              <w:rPr>
                <w:rFonts w:ascii="Times New Roman" w:hAnsi="Times New Roman" w:cs="Times New Roman"/>
                <w:b/>
              </w:rPr>
              <w:t>Uygulama şekli ve sayısı</w:t>
            </w:r>
          </w:p>
        </w:tc>
      </w:tr>
      <w:tr w:rsidR="00272AD1" w:rsidRPr="00272AD1" w:rsidTr="00272AD1">
        <w:tc>
          <w:tcPr>
            <w:tcW w:w="1164" w:type="dxa"/>
            <w:vMerge w:val="restart"/>
            <w:tcBorders>
              <w:top w:val="single" w:sz="4" w:space="0" w:color="auto"/>
              <w:left w:val="single" w:sz="4" w:space="0" w:color="auto"/>
              <w:bottom w:val="single" w:sz="4" w:space="0" w:color="auto"/>
              <w:right w:val="single" w:sz="4" w:space="0" w:color="auto"/>
            </w:tcBorders>
          </w:tcPr>
          <w:p w:rsidR="00272AD1" w:rsidRPr="00272AD1" w:rsidRDefault="00272AD1">
            <w:pPr>
              <w:rPr>
                <w:rFonts w:ascii="Times New Roman" w:hAnsi="Times New Roman" w:cs="Times New Roman"/>
              </w:rPr>
            </w:pPr>
          </w:p>
          <w:p w:rsidR="00272AD1" w:rsidRPr="00272AD1" w:rsidRDefault="00272AD1">
            <w:pPr>
              <w:rPr>
                <w:rFonts w:ascii="Times New Roman" w:hAnsi="Times New Roman" w:cs="Times New Roman"/>
                <w:b/>
              </w:rPr>
            </w:pPr>
            <w:r w:rsidRPr="00272AD1">
              <w:rPr>
                <w:rFonts w:ascii="Times New Roman" w:hAnsi="Times New Roman" w:cs="Times New Roman"/>
                <w:b/>
              </w:rPr>
              <w:t xml:space="preserve">Ayvada Ateş yanıklığı </w:t>
            </w:r>
          </w:p>
          <w:p w:rsidR="00272AD1" w:rsidRPr="00272AD1" w:rsidRDefault="00272AD1">
            <w:pPr>
              <w:rPr>
                <w:rFonts w:ascii="Times New Roman" w:hAnsi="Times New Roman" w:cs="Times New Roman"/>
                <w:b/>
              </w:rPr>
            </w:pPr>
          </w:p>
          <w:p w:rsidR="00272AD1" w:rsidRPr="00272AD1" w:rsidRDefault="00272AD1">
            <w:pPr>
              <w:rPr>
                <w:rFonts w:ascii="Times New Roman" w:hAnsi="Times New Roman" w:cs="Times New Roman"/>
                <w:b/>
              </w:rPr>
            </w:pPr>
          </w:p>
          <w:p w:rsidR="00272AD1" w:rsidRPr="00272AD1" w:rsidRDefault="00272AD1">
            <w:pPr>
              <w:rPr>
                <w:rFonts w:ascii="Times New Roman" w:hAnsi="Times New Roman" w:cs="Times New Roman"/>
                <w:b/>
              </w:rPr>
            </w:pPr>
          </w:p>
          <w:p w:rsidR="00272AD1" w:rsidRPr="00272AD1" w:rsidRDefault="00272AD1">
            <w:pPr>
              <w:rPr>
                <w:rFonts w:ascii="Times New Roman" w:hAnsi="Times New Roman" w:cs="Times New Roman"/>
                <w:sz w:val="20"/>
                <w:szCs w:val="20"/>
              </w:rPr>
            </w:pPr>
            <w:r w:rsidRPr="00272AD1">
              <w:rPr>
                <w:rFonts w:ascii="Times New Roman" w:hAnsi="Times New Roman" w:cs="Times New Roman"/>
                <w:b/>
                <w:sz w:val="20"/>
                <w:szCs w:val="20"/>
              </w:rPr>
              <w:t>(Erwinia amylovora)</w:t>
            </w:r>
          </w:p>
        </w:tc>
        <w:tc>
          <w:tcPr>
            <w:tcW w:w="1568"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sz w:val="22"/>
                <w:szCs w:val="22"/>
              </w:rPr>
            </w:pPr>
            <w:r w:rsidRPr="00272AD1">
              <w:rPr>
                <w:rFonts w:ascii="Times New Roman" w:hAnsi="Times New Roman" w:cs="Times New Roman"/>
              </w:rPr>
              <w:t>%25 Metalik bakıra eşdeğer bakır sülfat</w:t>
            </w:r>
          </w:p>
        </w:tc>
        <w:tc>
          <w:tcPr>
            <w:tcW w:w="1409" w:type="dxa"/>
            <w:tcBorders>
              <w:top w:val="single" w:sz="4" w:space="0" w:color="auto"/>
              <w:left w:val="single" w:sz="4" w:space="0" w:color="auto"/>
              <w:bottom w:val="single" w:sz="4" w:space="0" w:color="auto"/>
              <w:right w:val="single" w:sz="4" w:space="0" w:color="auto"/>
            </w:tcBorders>
            <w:hideMark/>
          </w:tcPr>
          <w:p w:rsidR="00272AD1" w:rsidRPr="00272AD1" w:rsidRDefault="00272AD1">
            <w:pPr>
              <w:jc w:val="center"/>
              <w:rPr>
                <w:rFonts w:ascii="Times New Roman" w:hAnsi="Times New Roman" w:cs="Times New Roman"/>
              </w:rPr>
            </w:pPr>
            <w:r w:rsidRPr="00272AD1">
              <w:rPr>
                <w:rFonts w:ascii="Times New Roman" w:hAnsi="Times New Roman" w:cs="Times New Roman"/>
              </w:rPr>
              <w:t>Kapsül</w:t>
            </w:r>
          </w:p>
        </w:tc>
        <w:tc>
          <w:tcPr>
            <w:tcW w:w="1105"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2 kg/100 L su</w:t>
            </w:r>
          </w:p>
        </w:tc>
        <w:tc>
          <w:tcPr>
            <w:tcW w:w="1134"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 xml:space="preserve">5 </w:t>
            </w:r>
            <w:r w:rsidRPr="00272AD1">
              <w:rPr>
                <w:rFonts w:ascii="Times New Roman" w:hAnsi="Times New Roman" w:cs="Times New Roman"/>
                <w:b/>
              </w:rPr>
              <w:t>mg/kg</w:t>
            </w:r>
          </w:p>
        </w:tc>
        <w:tc>
          <w:tcPr>
            <w:tcW w:w="3260"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Dormant</w:t>
            </w:r>
          </w:p>
        </w:tc>
      </w:tr>
      <w:tr w:rsidR="00272AD1" w:rsidRPr="00272AD1" w:rsidTr="00272AD1">
        <w:tc>
          <w:tcPr>
            <w:tcW w:w="1164" w:type="dxa"/>
            <w:vMerge/>
            <w:tcBorders>
              <w:top w:val="single" w:sz="4" w:space="0" w:color="auto"/>
              <w:left w:val="single" w:sz="4" w:space="0" w:color="auto"/>
              <w:bottom w:val="single" w:sz="4" w:space="0" w:color="auto"/>
              <w:right w:val="single" w:sz="4" w:space="0" w:color="auto"/>
            </w:tcBorders>
            <w:vAlign w:val="center"/>
            <w:hideMark/>
          </w:tcPr>
          <w:p w:rsidR="00272AD1" w:rsidRPr="00272AD1" w:rsidRDefault="00272AD1">
            <w:pPr>
              <w:rPr>
                <w:rFonts w:ascii="Times New Roman" w:hAnsi="Times New Roman" w:cs="Times New Roman"/>
                <w:sz w:val="20"/>
                <w:szCs w:val="20"/>
                <w:lang w:eastAsia="en-US"/>
              </w:rPr>
            </w:pPr>
          </w:p>
        </w:tc>
        <w:tc>
          <w:tcPr>
            <w:tcW w:w="1568"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%25 Metalik bakıra eşdeğer %98 bakır sülfat</w:t>
            </w:r>
          </w:p>
        </w:tc>
        <w:tc>
          <w:tcPr>
            <w:tcW w:w="1409" w:type="dxa"/>
            <w:tcBorders>
              <w:top w:val="single" w:sz="4" w:space="0" w:color="auto"/>
              <w:left w:val="single" w:sz="4" w:space="0" w:color="auto"/>
              <w:bottom w:val="single" w:sz="4" w:space="0" w:color="auto"/>
              <w:right w:val="single" w:sz="4" w:space="0" w:color="auto"/>
            </w:tcBorders>
            <w:hideMark/>
          </w:tcPr>
          <w:p w:rsidR="00272AD1" w:rsidRPr="00272AD1" w:rsidRDefault="00272AD1">
            <w:pPr>
              <w:jc w:val="center"/>
              <w:rPr>
                <w:rFonts w:ascii="Times New Roman" w:hAnsi="Times New Roman" w:cs="Times New Roman"/>
              </w:rPr>
            </w:pPr>
            <w:r w:rsidRPr="00272AD1">
              <w:rPr>
                <w:rFonts w:ascii="Times New Roman" w:hAnsi="Times New Roman" w:cs="Times New Roman"/>
              </w:rPr>
              <w:t>Suda çözünebilir kristaller</w:t>
            </w:r>
          </w:p>
        </w:tc>
        <w:tc>
          <w:tcPr>
            <w:tcW w:w="1105"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2 kg/100 L su</w:t>
            </w:r>
          </w:p>
        </w:tc>
        <w:tc>
          <w:tcPr>
            <w:tcW w:w="1134"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21 gün</w:t>
            </w:r>
          </w:p>
        </w:tc>
        <w:tc>
          <w:tcPr>
            <w:tcW w:w="1559"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 xml:space="preserve">5 </w:t>
            </w:r>
            <w:r w:rsidRPr="00272AD1">
              <w:rPr>
                <w:rFonts w:ascii="Times New Roman" w:hAnsi="Times New Roman" w:cs="Times New Roman"/>
                <w:b/>
              </w:rPr>
              <w:t>mg/kg</w:t>
            </w:r>
          </w:p>
        </w:tc>
        <w:tc>
          <w:tcPr>
            <w:tcW w:w="3260"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Dormant</w:t>
            </w:r>
          </w:p>
        </w:tc>
      </w:tr>
      <w:tr w:rsidR="00272AD1" w:rsidRPr="00272AD1" w:rsidTr="00272AD1">
        <w:tc>
          <w:tcPr>
            <w:tcW w:w="1164" w:type="dxa"/>
            <w:vMerge/>
            <w:tcBorders>
              <w:top w:val="single" w:sz="4" w:space="0" w:color="auto"/>
              <w:left w:val="single" w:sz="4" w:space="0" w:color="auto"/>
              <w:bottom w:val="single" w:sz="4" w:space="0" w:color="auto"/>
              <w:right w:val="single" w:sz="4" w:space="0" w:color="auto"/>
            </w:tcBorders>
            <w:vAlign w:val="center"/>
            <w:hideMark/>
          </w:tcPr>
          <w:p w:rsidR="00272AD1" w:rsidRPr="00272AD1" w:rsidRDefault="00272AD1">
            <w:pPr>
              <w:rPr>
                <w:rFonts w:ascii="Times New Roman" w:hAnsi="Times New Roman" w:cs="Times New Roman"/>
                <w:sz w:val="20"/>
                <w:szCs w:val="20"/>
                <w:lang w:eastAsia="en-US"/>
              </w:rPr>
            </w:pPr>
          </w:p>
        </w:tc>
        <w:tc>
          <w:tcPr>
            <w:tcW w:w="1568"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%80 Fosetyl-Al</w:t>
            </w:r>
          </w:p>
        </w:tc>
        <w:tc>
          <w:tcPr>
            <w:tcW w:w="1409" w:type="dxa"/>
            <w:tcBorders>
              <w:top w:val="single" w:sz="4" w:space="0" w:color="auto"/>
              <w:left w:val="single" w:sz="4" w:space="0" w:color="auto"/>
              <w:bottom w:val="single" w:sz="4" w:space="0" w:color="auto"/>
              <w:right w:val="single" w:sz="4" w:space="0" w:color="auto"/>
            </w:tcBorders>
            <w:hideMark/>
          </w:tcPr>
          <w:p w:rsidR="00272AD1" w:rsidRPr="00272AD1" w:rsidRDefault="00272AD1">
            <w:pPr>
              <w:jc w:val="center"/>
              <w:rPr>
                <w:rFonts w:ascii="Times New Roman" w:hAnsi="Times New Roman" w:cs="Times New Roman"/>
              </w:rPr>
            </w:pPr>
            <w:r w:rsidRPr="00272AD1">
              <w:rPr>
                <w:rFonts w:ascii="Times New Roman" w:hAnsi="Times New Roman" w:cs="Times New Roman"/>
              </w:rPr>
              <w:t>WG-WP</w:t>
            </w:r>
          </w:p>
        </w:tc>
        <w:tc>
          <w:tcPr>
            <w:tcW w:w="1105"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400 g/100 L su</w:t>
            </w:r>
          </w:p>
        </w:tc>
        <w:tc>
          <w:tcPr>
            <w:tcW w:w="1134"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14 gün</w:t>
            </w:r>
          </w:p>
        </w:tc>
        <w:tc>
          <w:tcPr>
            <w:tcW w:w="1559"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 xml:space="preserve">75 </w:t>
            </w:r>
            <w:r w:rsidRPr="00272AD1">
              <w:rPr>
                <w:rFonts w:ascii="Times New Roman" w:hAnsi="Times New Roman" w:cs="Times New Roman"/>
                <w:b/>
              </w:rPr>
              <w:t>mg/kg</w:t>
            </w:r>
          </w:p>
        </w:tc>
        <w:tc>
          <w:tcPr>
            <w:tcW w:w="3260"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Çiçek başlangıcı ve tam çiçekte birer ilaçlama. Hastalık için koşullar devam ederse üçüncü ilaçlama gerekebilir.</w:t>
            </w:r>
          </w:p>
        </w:tc>
      </w:tr>
      <w:tr w:rsidR="00272AD1" w:rsidRPr="00272AD1" w:rsidTr="00272AD1">
        <w:tc>
          <w:tcPr>
            <w:tcW w:w="1164" w:type="dxa"/>
            <w:vMerge/>
            <w:tcBorders>
              <w:top w:val="single" w:sz="4" w:space="0" w:color="auto"/>
              <w:left w:val="single" w:sz="4" w:space="0" w:color="auto"/>
              <w:bottom w:val="single" w:sz="4" w:space="0" w:color="auto"/>
              <w:right w:val="single" w:sz="4" w:space="0" w:color="auto"/>
            </w:tcBorders>
            <w:vAlign w:val="center"/>
            <w:hideMark/>
          </w:tcPr>
          <w:p w:rsidR="00272AD1" w:rsidRPr="00272AD1" w:rsidRDefault="00272AD1">
            <w:pPr>
              <w:rPr>
                <w:rFonts w:ascii="Times New Roman" w:hAnsi="Times New Roman" w:cs="Times New Roman"/>
                <w:sz w:val="20"/>
                <w:szCs w:val="20"/>
                <w:lang w:eastAsia="en-US"/>
              </w:rPr>
            </w:pPr>
          </w:p>
        </w:tc>
        <w:tc>
          <w:tcPr>
            <w:tcW w:w="1568"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%37.5 Bakır oksiklorid+%20 maneb</w:t>
            </w:r>
          </w:p>
        </w:tc>
        <w:tc>
          <w:tcPr>
            <w:tcW w:w="1409" w:type="dxa"/>
            <w:tcBorders>
              <w:top w:val="single" w:sz="4" w:space="0" w:color="auto"/>
              <w:left w:val="single" w:sz="4" w:space="0" w:color="auto"/>
              <w:bottom w:val="single" w:sz="4" w:space="0" w:color="auto"/>
              <w:right w:val="single" w:sz="4" w:space="0" w:color="auto"/>
            </w:tcBorders>
            <w:hideMark/>
          </w:tcPr>
          <w:p w:rsidR="00272AD1" w:rsidRPr="00272AD1" w:rsidRDefault="00272AD1">
            <w:pPr>
              <w:jc w:val="center"/>
              <w:rPr>
                <w:rFonts w:ascii="Times New Roman" w:hAnsi="Times New Roman" w:cs="Times New Roman"/>
              </w:rPr>
            </w:pPr>
            <w:r w:rsidRPr="00272AD1">
              <w:rPr>
                <w:rFonts w:ascii="Times New Roman" w:hAnsi="Times New Roman" w:cs="Times New Roman"/>
              </w:rPr>
              <w:t>WP</w:t>
            </w:r>
          </w:p>
        </w:tc>
        <w:tc>
          <w:tcPr>
            <w:tcW w:w="1105"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400 g/100 L su</w:t>
            </w:r>
          </w:p>
        </w:tc>
        <w:tc>
          <w:tcPr>
            <w:tcW w:w="1134"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14 gün</w:t>
            </w:r>
          </w:p>
        </w:tc>
        <w:tc>
          <w:tcPr>
            <w:tcW w:w="1559" w:type="dxa"/>
            <w:tcBorders>
              <w:top w:val="single" w:sz="4" w:space="0" w:color="auto"/>
              <w:left w:val="single" w:sz="4" w:space="0" w:color="auto"/>
              <w:bottom w:val="single" w:sz="4" w:space="0" w:color="auto"/>
              <w:right w:val="single" w:sz="4" w:space="0" w:color="auto"/>
            </w:tcBorders>
          </w:tcPr>
          <w:p w:rsidR="00272AD1" w:rsidRPr="00272AD1" w:rsidRDefault="00272AD1">
            <w:pPr>
              <w:rPr>
                <w:rFonts w:ascii="Times New Roman" w:hAnsi="Times New Roman" w:cs="Times New Roman"/>
              </w:rPr>
            </w:pPr>
            <w:r w:rsidRPr="00272AD1">
              <w:rPr>
                <w:rFonts w:ascii="Times New Roman" w:hAnsi="Times New Roman" w:cs="Times New Roman"/>
              </w:rPr>
              <w:t xml:space="preserve">5 </w:t>
            </w:r>
            <w:r w:rsidRPr="00272AD1">
              <w:rPr>
                <w:rFonts w:ascii="Times New Roman" w:hAnsi="Times New Roman" w:cs="Times New Roman"/>
                <w:b/>
              </w:rPr>
              <w:t>mg/kg</w:t>
            </w:r>
            <w:r w:rsidRPr="00272AD1">
              <w:rPr>
                <w:rFonts w:ascii="Times New Roman" w:hAnsi="Times New Roman" w:cs="Times New Roman"/>
              </w:rPr>
              <w:t xml:space="preserve"> </w:t>
            </w:r>
          </w:p>
          <w:p w:rsidR="00272AD1" w:rsidRPr="00272AD1" w:rsidRDefault="00272AD1">
            <w:pPr>
              <w:rPr>
                <w:rFonts w:ascii="Times New Roman" w:hAnsi="Times New Roman" w:cs="Times New Roman"/>
              </w:rPr>
            </w:pPr>
          </w:p>
          <w:p w:rsidR="00272AD1" w:rsidRPr="00272AD1" w:rsidRDefault="00272AD1">
            <w:pPr>
              <w:rPr>
                <w:rFonts w:ascii="Times New Roman" w:hAnsi="Times New Roman" w:cs="Times New Roman"/>
              </w:rPr>
            </w:pPr>
            <w:r w:rsidRPr="00272AD1">
              <w:rPr>
                <w:rFonts w:ascii="Times New Roman" w:hAnsi="Times New Roman" w:cs="Times New Roman"/>
              </w:rPr>
              <w:t>(bakır-meyveler)+</w:t>
            </w:r>
          </w:p>
          <w:p w:rsidR="00272AD1" w:rsidRPr="00272AD1" w:rsidRDefault="00272AD1">
            <w:pPr>
              <w:rPr>
                <w:rFonts w:ascii="Times New Roman" w:hAnsi="Times New Roman" w:cs="Times New Roman"/>
              </w:rPr>
            </w:pPr>
          </w:p>
          <w:p w:rsidR="00272AD1" w:rsidRPr="00272AD1" w:rsidRDefault="00272AD1">
            <w:pPr>
              <w:rPr>
                <w:rFonts w:ascii="Times New Roman" w:hAnsi="Times New Roman" w:cs="Times New Roman"/>
              </w:rPr>
            </w:pPr>
            <w:r w:rsidRPr="00272AD1">
              <w:rPr>
                <w:rFonts w:ascii="Times New Roman" w:hAnsi="Times New Roman" w:cs="Times New Roman"/>
              </w:rPr>
              <w:t xml:space="preserve">5 </w:t>
            </w:r>
            <w:r w:rsidRPr="00272AD1">
              <w:rPr>
                <w:rFonts w:ascii="Times New Roman" w:hAnsi="Times New Roman" w:cs="Times New Roman"/>
                <w:b/>
              </w:rPr>
              <w:t>mg/kg</w:t>
            </w:r>
            <w:r w:rsidRPr="00272AD1">
              <w:rPr>
                <w:rFonts w:ascii="Times New Roman" w:hAnsi="Times New Roman" w:cs="Times New Roman"/>
              </w:rPr>
              <w:t xml:space="preserve"> </w:t>
            </w:r>
          </w:p>
          <w:p w:rsidR="00272AD1" w:rsidRPr="00272AD1" w:rsidRDefault="00272AD1">
            <w:pPr>
              <w:rPr>
                <w:rFonts w:ascii="Times New Roman" w:hAnsi="Times New Roman" w:cs="Times New Roman"/>
              </w:rPr>
            </w:pPr>
          </w:p>
          <w:p w:rsidR="00272AD1" w:rsidRPr="00272AD1" w:rsidRDefault="00272AD1">
            <w:pPr>
              <w:rPr>
                <w:rFonts w:ascii="Times New Roman" w:hAnsi="Times New Roman" w:cs="Times New Roman"/>
              </w:rPr>
            </w:pPr>
            <w:r w:rsidRPr="00272AD1">
              <w:rPr>
                <w:rFonts w:ascii="Times New Roman" w:hAnsi="Times New Roman" w:cs="Times New Roman"/>
              </w:rPr>
              <w:t>(maneb armut ve ayva)</w:t>
            </w:r>
          </w:p>
        </w:tc>
        <w:tc>
          <w:tcPr>
            <w:tcW w:w="3260"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Çiçeklenme</w:t>
            </w:r>
          </w:p>
        </w:tc>
      </w:tr>
      <w:tr w:rsidR="00272AD1" w:rsidRPr="00272AD1" w:rsidTr="00272AD1">
        <w:tc>
          <w:tcPr>
            <w:tcW w:w="1164" w:type="dxa"/>
            <w:vMerge/>
            <w:tcBorders>
              <w:top w:val="single" w:sz="4" w:space="0" w:color="auto"/>
              <w:left w:val="single" w:sz="4" w:space="0" w:color="auto"/>
              <w:bottom w:val="single" w:sz="4" w:space="0" w:color="auto"/>
              <w:right w:val="single" w:sz="4" w:space="0" w:color="auto"/>
            </w:tcBorders>
            <w:vAlign w:val="center"/>
            <w:hideMark/>
          </w:tcPr>
          <w:p w:rsidR="00272AD1" w:rsidRPr="00272AD1" w:rsidRDefault="00272AD1">
            <w:pPr>
              <w:rPr>
                <w:rFonts w:ascii="Times New Roman" w:hAnsi="Times New Roman" w:cs="Times New Roman"/>
                <w:sz w:val="20"/>
                <w:szCs w:val="20"/>
                <w:lang w:eastAsia="en-US"/>
              </w:rPr>
            </w:pPr>
          </w:p>
        </w:tc>
        <w:tc>
          <w:tcPr>
            <w:tcW w:w="1568"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%1.34 Bacillus subtilis QST713 ırkı</w:t>
            </w:r>
          </w:p>
        </w:tc>
        <w:tc>
          <w:tcPr>
            <w:tcW w:w="1409" w:type="dxa"/>
            <w:tcBorders>
              <w:top w:val="single" w:sz="4" w:space="0" w:color="auto"/>
              <w:left w:val="single" w:sz="4" w:space="0" w:color="auto"/>
              <w:bottom w:val="single" w:sz="4" w:space="0" w:color="auto"/>
              <w:right w:val="single" w:sz="4" w:space="0" w:color="auto"/>
            </w:tcBorders>
            <w:hideMark/>
          </w:tcPr>
          <w:p w:rsidR="00272AD1" w:rsidRPr="00272AD1" w:rsidRDefault="00272AD1">
            <w:pPr>
              <w:jc w:val="center"/>
              <w:rPr>
                <w:rFonts w:ascii="Times New Roman" w:hAnsi="Times New Roman" w:cs="Times New Roman"/>
              </w:rPr>
            </w:pPr>
            <w:r w:rsidRPr="00272AD1">
              <w:rPr>
                <w:rFonts w:ascii="Times New Roman" w:hAnsi="Times New Roman" w:cs="Times New Roman"/>
              </w:rPr>
              <w:t>SC</w:t>
            </w:r>
          </w:p>
        </w:tc>
        <w:tc>
          <w:tcPr>
            <w:tcW w:w="1105"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1000 ml/100 L su</w:t>
            </w:r>
          </w:p>
        </w:tc>
        <w:tc>
          <w:tcPr>
            <w:tcW w:w="1134"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Hastalık belirtilerinin görülmesiyle kullanılmaya başlar şartlar devam ediyorsa 7 gün aralıklarla devam edilir. Kültürel önlemlere dikkat edilir.</w:t>
            </w:r>
          </w:p>
        </w:tc>
      </w:tr>
      <w:tr w:rsidR="00272AD1" w:rsidRPr="00272AD1" w:rsidTr="00272AD1">
        <w:tc>
          <w:tcPr>
            <w:tcW w:w="1164" w:type="dxa"/>
            <w:vMerge/>
            <w:tcBorders>
              <w:top w:val="single" w:sz="4" w:space="0" w:color="auto"/>
              <w:left w:val="single" w:sz="4" w:space="0" w:color="auto"/>
              <w:bottom w:val="single" w:sz="4" w:space="0" w:color="auto"/>
              <w:right w:val="single" w:sz="4" w:space="0" w:color="auto"/>
            </w:tcBorders>
            <w:vAlign w:val="center"/>
            <w:hideMark/>
          </w:tcPr>
          <w:p w:rsidR="00272AD1" w:rsidRPr="00272AD1" w:rsidRDefault="00272AD1">
            <w:pPr>
              <w:rPr>
                <w:rFonts w:ascii="Times New Roman" w:hAnsi="Times New Roman" w:cs="Times New Roman"/>
                <w:sz w:val="20"/>
                <w:szCs w:val="20"/>
                <w:lang w:eastAsia="en-US"/>
              </w:rPr>
            </w:pPr>
          </w:p>
        </w:tc>
        <w:tc>
          <w:tcPr>
            <w:tcW w:w="1568"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5x10</w:t>
            </w:r>
            <w:r w:rsidRPr="00272AD1">
              <w:rPr>
                <w:rFonts w:ascii="Times New Roman" w:hAnsi="Times New Roman" w:cs="Times New Roman"/>
                <w:vertAlign w:val="superscript"/>
              </w:rPr>
              <w:t>9</w:t>
            </w:r>
            <w:r w:rsidRPr="00272AD1">
              <w:rPr>
                <w:rFonts w:ascii="Times New Roman" w:hAnsi="Times New Roman" w:cs="Times New Roman"/>
              </w:rPr>
              <w:t>hücre/g Aerobasidium pullulans</w:t>
            </w:r>
          </w:p>
        </w:tc>
        <w:tc>
          <w:tcPr>
            <w:tcW w:w="1409" w:type="dxa"/>
            <w:tcBorders>
              <w:top w:val="single" w:sz="4" w:space="0" w:color="auto"/>
              <w:left w:val="single" w:sz="4" w:space="0" w:color="auto"/>
              <w:bottom w:val="single" w:sz="4" w:space="0" w:color="auto"/>
              <w:right w:val="single" w:sz="4" w:space="0" w:color="auto"/>
            </w:tcBorders>
            <w:hideMark/>
          </w:tcPr>
          <w:p w:rsidR="00272AD1" w:rsidRPr="00272AD1" w:rsidRDefault="00272AD1">
            <w:pPr>
              <w:jc w:val="center"/>
              <w:rPr>
                <w:rFonts w:ascii="Times New Roman" w:hAnsi="Times New Roman" w:cs="Times New Roman"/>
              </w:rPr>
            </w:pPr>
            <w:r w:rsidRPr="00272AD1">
              <w:rPr>
                <w:rFonts w:ascii="Times New Roman" w:hAnsi="Times New Roman" w:cs="Times New Roman"/>
              </w:rPr>
              <w:t>WG</w:t>
            </w:r>
          </w:p>
        </w:tc>
        <w:tc>
          <w:tcPr>
            <w:tcW w:w="1105"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150 g/100 L su</w:t>
            </w:r>
          </w:p>
        </w:tc>
        <w:tc>
          <w:tcPr>
            <w:tcW w:w="1134"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hideMark/>
          </w:tcPr>
          <w:p w:rsidR="00272AD1" w:rsidRPr="00272AD1" w:rsidRDefault="00272AD1">
            <w:pPr>
              <w:rPr>
                <w:rFonts w:ascii="Times New Roman" w:hAnsi="Times New Roman" w:cs="Times New Roman"/>
              </w:rPr>
            </w:pPr>
            <w:r w:rsidRPr="00272AD1">
              <w:rPr>
                <w:rFonts w:ascii="Times New Roman" w:hAnsi="Times New Roman" w:cs="Times New Roman"/>
              </w:rPr>
              <w:t>Çiçeklenme döneminde taç yaprakların %10, %40, %70 ve %90 açıldığında uygulanır. Uygulama sayısı en fazla beştir. Uygulamanın akşam saatinde yapılması tercih edilmelidir. İlaçlı karışım 8 saat içerisinde solüsyon sprey halinde kullanılmalıdır. Uygulama esnasında karıştırma işlemi devam etmelidir. Diğer pestisit uygulamalarına birkaç gün ara ile devam edilmelidir.</w:t>
            </w:r>
          </w:p>
        </w:tc>
      </w:tr>
    </w:tbl>
    <w:p w:rsidR="00272AD1" w:rsidRPr="00272AD1" w:rsidRDefault="00272AD1" w:rsidP="008A23EE">
      <w:pPr>
        <w:pStyle w:val="Gvdemetni21"/>
        <w:shd w:val="clear" w:color="auto" w:fill="auto"/>
        <w:spacing w:line="317" w:lineRule="exact"/>
        <w:ind w:firstLine="780"/>
        <w:jc w:val="both"/>
      </w:pPr>
      <w:bookmarkStart w:id="0" w:name="_GoBack"/>
      <w:bookmarkEnd w:id="0"/>
    </w:p>
    <w:sectPr w:rsidR="00272AD1" w:rsidRPr="00272AD1">
      <w:footerReference w:type="default" r:id="rId7"/>
      <w:pgSz w:w="11900" w:h="16840"/>
      <w:pgMar w:top="1037" w:right="1125" w:bottom="663" w:left="11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E38" w:rsidRDefault="00E64E38">
      <w:r>
        <w:separator/>
      </w:r>
    </w:p>
  </w:endnote>
  <w:endnote w:type="continuationSeparator" w:id="0">
    <w:p w:rsidR="00E64E38" w:rsidRDefault="00E6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Franklin Gothic Heavy">
    <w:altName w:val="Arial Black"/>
    <w:panose1 w:val="020B09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50" w:rsidRDefault="004F21A7">
    <w:pPr>
      <w:rPr>
        <w:sz w:val="2"/>
        <w:szCs w:val="2"/>
      </w:rPr>
    </w:pPr>
    <w:r>
      <w:rPr>
        <w:noProof/>
        <w:lang w:bidi="ar-SA"/>
      </w:rPr>
      <mc:AlternateContent>
        <mc:Choice Requires="wps">
          <w:drawing>
            <wp:anchor distT="0" distB="0" distL="63500" distR="63500" simplePos="0" relativeHeight="251657728" behindDoc="1" locked="0" layoutInCell="1" allowOverlap="1" wp14:anchorId="6604DF71" wp14:editId="63FCCECF">
              <wp:simplePos x="0" y="0"/>
              <wp:positionH relativeFrom="page">
                <wp:posOffset>3721100</wp:posOffset>
              </wp:positionH>
              <wp:positionV relativeFrom="page">
                <wp:posOffset>10619740</wp:posOffset>
              </wp:positionV>
              <wp:extent cx="147320" cy="9461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450" w:rsidRDefault="00D30ADD">
                          <w:pPr>
                            <w:pStyle w:val="stbilgiveyaaltbilgi1"/>
                            <w:shd w:val="clear" w:color="auto" w:fill="auto"/>
                            <w:spacing w:line="240" w:lineRule="auto"/>
                          </w:pPr>
                          <w:r>
                            <w:fldChar w:fldCharType="begin"/>
                          </w:r>
                          <w:r>
                            <w:instrText xml:space="preserve"> PAGE \* MERGEFORMAT </w:instrText>
                          </w:r>
                          <w:r>
                            <w:fldChar w:fldCharType="separate"/>
                          </w:r>
                          <w:r w:rsidR="00272AD1" w:rsidRPr="00272AD1">
                            <w:rPr>
                              <w:rStyle w:val="stbilgiveyaaltbilgi0"/>
                              <w:noProof/>
                            </w:rPr>
                            <w:t>1</w:t>
                          </w:r>
                          <w:r>
                            <w:rPr>
                              <w:rStyle w:val="stbilgiveyaaltbilgi0"/>
                            </w:rPr>
                            <w:fldChar w:fldCharType="end"/>
                          </w:r>
                          <w:r>
                            <w:rPr>
                              <w:rStyle w:val="stbilgiveyaaltbilgi2"/>
                            </w:rPr>
                            <w:t xml:space="preserve"> / </w:t>
                          </w:r>
                          <w:r>
                            <w:rPr>
                              <w:rStyle w:val="stbilgiveyaaltbilgi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04DF71" id="_x0000_t202" coordsize="21600,21600" o:spt="202" path="m,l,21600r21600,l21600,xe">
              <v:stroke joinstyle="miter"/>
              <v:path gradientshapeok="t" o:connecttype="rect"/>
            </v:shapetype>
            <v:shape id="Text Box 1" o:spid="_x0000_s1026" type="#_x0000_t202" style="position:absolute;margin-left:293pt;margin-top:836.2pt;width:11.6pt;height:7.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" filled="f" stroked="f">
              <v:textbox style="mso-fit-shape-to-text:t" inset="0,0,0,0">
                <w:txbxContent>
                  <w:p w:rsidR="00F33450" w:rsidRDefault="00D30ADD">
                    <w:pPr>
                      <w:pStyle w:val="stbilgiveyaaltbilgi1"/>
                      <w:shd w:val="clear" w:color="auto" w:fill="auto"/>
                      <w:spacing w:line="240" w:lineRule="auto"/>
                    </w:pPr>
                    <w:r>
                      <w:fldChar w:fldCharType="begin"/>
                    </w:r>
                    <w:r>
                      <w:instrText xml:space="preserve"> PAGE \* MERGEFORMAT </w:instrText>
                    </w:r>
                    <w:r>
                      <w:fldChar w:fldCharType="separate"/>
                    </w:r>
                    <w:r w:rsidR="00272AD1" w:rsidRPr="00272AD1">
                      <w:rPr>
                        <w:rStyle w:val="stbilgiveyaaltbilgi0"/>
                        <w:noProof/>
                      </w:rPr>
                      <w:t>1</w:t>
                    </w:r>
                    <w:r>
                      <w:rPr>
                        <w:rStyle w:val="stbilgiveyaaltbilgi0"/>
                      </w:rPr>
                      <w:fldChar w:fldCharType="end"/>
                    </w:r>
                    <w:r>
                      <w:rPr>
                        <w:rStyle w:val="stbilgiveyaaltbilgi2"/>
                      </w:rPr>
                      <w:t xml:space="preserve"> / </w:t>
                    </w:r>
                    <w:r>
                      <w:rPr>
                        <w:rStyle w:val="stbilgiveyaaltbilgi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E38" w:rsidRDefault="00E64E38"/>
  </w:footnote>
  <w:footnote w:type="continuationSeparator" w:id="0">
    <w:p w:rsidR="00E64E38" w:rsidRDefault="00E64E3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52B7A"/>
    <w:multiLevelType w:val="multilevel"/>
    <w:tmpl w:val="3E34E5D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50"/>
    <w:rsid w:val="00272AD1"/>
    <w:rsid w:val="003F1AA7"/>
    <w:rsid w:val="004F21A7"/>
    <w:rsid w:val="005C36F9"/>
    <w:rsid w:val="006C1002"/>
    <w:rsid w:val="008A23EE"/>
    <w:rsid w:val="00CB6A49"/>
    <w:rsid w:val="00D30ADD"/>
    <w:rsid w:val="00E64E38"/>
    <w:rsid w:val="00F33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BF903"/>
  <w15:docId w15:val="{85966970-1160-4F9F-8F31-0033BAF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esimyazsExact">
    <w:name w:val="Resim yazısı Exact"/>
    <w:basedOn w:val="VarsaylanParagrafYazTipi"/>
    <w:link w:val="Resimyazs"/>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ResimyazsExact1">
    <w:name w:val="Resim yazısı Exact1"/>
    <w:basedOn w:val="ResimyazsExact"/>
    <w:rPr>
      <w:rFonts w:ascii="Franklin Gothic Heavy" w:eastAsia="Franklin Gothic Heavy" w:hAnsi="Franklin Gothic Heavy" w:cs="Franklin Gothic Heavy"/>
      <w:b w:val="0"/>
      <w:bCs w:val="0"/>
      <w:i w:val="0"/>
      <w:iCs w:val="0"/>
      <w:smallCaps w:val="0"/>
      <w:strike w:val="0"/>
      <w:color w:val="0478AC"/>
      <w:spacing w:val="0"/>
      <w:w w:val="100"/>
      <w:position w:val="0"/>
      <w:sz w:val="8"/>
      <w:szCs w:val="8"/>
      <w:u w:val="none"/>
      <w:lang w:val="tr-TR" w:eastAsia="tr-TR" w:bidi="tr-TR"/>
    </w:rPr>
  </w:style>
  <w:style w:type="character" w:customStyle="1" w:styleId="Gvdemetni2">
    <w:name w:val="Gövde metni (2)_"/>
    <w:basedOn w:val="VarsaylanParagrafYazTipi"/>
    <w:link w:val="Gvdemetni21"/>
    <w:rPr>
      <w:rFonts w:ascii="Times New Roman" w:eastAsia="Times New Roman" w:hAnsi="Times New Roman" w:cs="Times New Roman"/>
      <w:b w:val="0"/>
      <w:bCs w:val="0"/>
      <w:i w:val="0"/>
      <w:iCs w:val="0"/>
      <w:smallCaps w:val="0"/>
      <w:strike w:val="0"/>
      <w:u w:val="none"/>
    </w:rPr>
  </w:style>
  <w:style w:type="character" w:customStyle="1" w:styleId="stbilgiveyaaltbilgi">
    <w:name w:val="Üst bilgi veya alt bilgi_"/>
    <w:basedOn w:val="VarsaylanParagrafYazTipi"/>
    <w:link w:val="stbilgiveyaaltbilgi1"/>
    <w:rPr>
      <w:rFonts w:ascii="Times New Roman" w:eastAsia="Times New Roman" w:hAnsi="Times New Roman" w:cs="Times New Roman"/>
      <w:b w:val="0"/>
      <w:bCs w:val="0"/>
      <w:i w:val="0"/>
      <w:iCs w:val="0"/>
      <w:smallCaps w:val="0"/>
      <w:strike w:val="0"/>
      <w:sz w:val="13"/>
      <w:szCs w:val="13"/>
      <w:u w:val="none"/>
    </w:rPr>
  </w:style>
  <w:style w:type="character" w:customStyle="1" w:styleId="stbilgiveyaaltbilgi0">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style>
  <w:style w:type="character" w:customStyle="1" w:styleId="stbilgiveyaaltbilgi2">
    <w:name w:val="Üst bilgi veya alt bilgi2"/>
    <w:basedOn w:val="stbilgiveyaaltbilgi"/>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style>
  <w:style w:type="character" w:customStyle="1" w:styleId="Gvdemetni20">
    <w:name w:val="Gövde metni (2)"/>
    <w:basedOn w:val="Gvdemetni2"/>
    <w:rPr>
      <w:rFonts w:ascii="Times New Roman" w:eastAsia="Times New Roman" w:hAnsi="Times New Roman" w:cs="Times New Roman"/>
      <w:b w:val="0"/>
      <w:bCs w:val="0"/>
      <w:i w:val="0"/>
      <w:iCs w:val="0"/>
      <w:smallCaps w:val="0"/>
      <w:strike w:val="0"/>
      <w:color w:val="FF0000"/>
      <w:spacing w:val="0"/>
      <w:w w:val="100"/>
      <w:position w:val="0"/>
      <w:sz w:val="24"/>
      <w:szCs w:val="24"/>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u w:val="none"/>
    </w:rPr>
  </w:style>
  <w:style w:type="character" w:customStyle="1" w:styleId="Gvdemetni3talikdeil">
    <w:name w:val="Gövde metni (3) + İtalik değil"/>
    <w:basedOn w:val="Gvdemetni3"/>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Kalntalik">
    <w:name w:val="Gövde metni (2) + Kalın;İtalik"/>
    <w:basedOn w:val="Gvdemetni2"/>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2talik">
    <w:name w:val="Gövde metni (2) + İtalik"/>
    <w:basedOn w:val="Gvdemetni2"/>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Kalntalik1">
    <w:name w:val="Gövde metni (2) + Kalın;İtalik1"/>
    <w:basedOn w:val="Gvdemetni2"/>
    <w:rPr>
      <w:rFonts w:ascii="Times New Roman" w:eastAsia="Times New Roman" w:hAnsi="Times New Roman" w:cs="Times New Roman"/>
      <w:b/>
      <w:bCs/>
      <w:i/>
      <w:iCs/>
      <w:smallCaps w:val="0"/>
      <w:strike w:val="0"/>
      <w:color w:val="000000"/>
      <w:spacing w:val="0"/>
      <w:w w:val="100"/>
      <w:position w:val="0"/>
      <w:sz w:val="24"/>
      <w:szCs w:val="24"/>
      <w:u w:val="single"/>
      <w:lang w:val="tr-TR" w:eastAsia="tr-TR" w:bidi="tr-TR"/>
    </w:rPr>
  </w:style>
  <w:style w:type="character" w:customStyle="1" w:styleId="Gvdemetni2talik1">
    <w:name w:val="Gövde metni (2) + İtalik1"/>
    <w:basedOn w:val="Gvdemetni2"/>
    <w:rPr>
      <w:rFonts w:ascii="Times New Roman" w:eastAsia="Times New Roman" w:hAnsi="Times New Roman" w:cs="Times New Roman"/>
      <w:b w:val="0"/>
      <w:bCs w:val="0"/>
      <w:i/>
      <w:iCs/>
      <w:smallCaps w:val="0"/>
      <w:strike w:val="0"/>
      <w:color w:val="000000"/>
      <w:spacing w:val="0"/>
      <w:w w:val="100"/>
      <w:position w:val="0"/>
      <w:sz w:val="24"/>
      <w:szCs w:val="24"/>
      <w:u w:val="single"/>
      <w:lang w:val="tr-TR" w:eastAsia="tr-TR" w:bidi="tr-TR"/>
    </w:rPr>
  </w:style>
  <w:style w:type="character" w:customStyle="1" w:styleId="Gvdemetni4">
    <w:name w:val="Gövde metni (4)_"/>
    <w:basedOn w:val="VarsaylanParagrafYazTipi"/>
    <w:link w:val="Gvdemetni41"/>
    <w:rPr>
      <w:rFonts w:ascii="Times New Roman" w:eastAsia="Times New Roman" w:hAnsi="Times New Roman" w:cs="Times New Roman"/>
      <w:b w:val="0"/>
      <w:bCs w:val="0"/>
      <w:i w:val="0"/>
      <w:iCs w:val="0"/>
      <w:smallCaps w:val="0"/>
      <w:strike w:val="0"/>
      <w:sz w:val="18"/>
      <w:szCs w:val="18"/>
      <w:u w:val="none"/>
    </w:rPr>
  </w:style>
  <w:style w:type="character" w:customStyle="1" w:styleId="Gvdemetni40">
    <w:name w:val="Gövde metni (4)"/>
    <w:basedOn w:val="Gvdemetni4"/>
    <w:rPr>
      <w:rFonts w:ascii="Times New Roman" w:eastAsia="Times New Roman" w:hAnsi="Times New Roman" w:cs="Times New Roman"/>
      <w:b w:val="0"/>
      <w:bCs w:val="0"/>
      <w:i w:val="0"/>
      <w:iCs w:val="0"/>
      <w:smallCaps w:val="0"/>
      <w:strike w:val="0"/>
      <w:color w:val="FF0000"/>
      <w:spacing w:val="0"/>
      <w:w w:val="100"/>
      <w:position w:val="0"/>
      <w:sz w:val="18"/>
      <w:szCs w:val="18"/>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u w:val="none"/>
    </w:rPr>
  </w:style>
  <w:style w:type="character" w:customStyle="1" w:styleId="Gvdemetni2KkBykHarf">
    <w:name w:val="Gövde metni (2) + Küçük Büyük Harf"/>
    <w:basedOn w:val="Gvdemetni2"/>
    <w:rPr>
      <w:rFonts w:ascii="Times New Roman" w:eastAsia="Times New Roman" w:hAnsi="Times New Roman" w:cs="Times New Roman"/>
      <w:b w:val="0"/>
      <w:bCs w:val="0"/>
      <w:i w:val="0"/>
      <w:iCs w:val="0"/>
      <w:smallCaps/>
      <w:strike w:val="0"/>
      <w:color w:val="FF0000"/>
      <w:spacing w:val="0"/>
      <w:w w:val="100"/>
      <w:position w:val="0"/>
      <w:sz w:val="24"/>
      <w:szCs w:val="24"/>
      <w:u w:val="none"/>
      <w:lang w:val="tr-TR" w:eastAsia="tr-TR" w:bidi="tr-TR"/>
    </w:rPr>
  </w:style>
  <w:style w:type="paragraph" w:customStyle="1" w:styleId="Resimyazs">
    <w:name w:val="Resim yazısı"/>
    <w:basedOn w:val="Normal"/>
    <w:link w:val="ResimyazsExact"/>
    <w:pPr>
      <w:shd w:val="clear" w:color="auto" w:fill="FFFFFF"/>
      <w:spacing w:line="82" w:lineRule="exact"/>
      <w:jc w:val="center"/>
    </w:pPr>
    <w:rPr>
      <w:rFonts w:ascii="Franklin Gothic Heavy" w:eastAsia="Franklin Gothic Heavy" w:hAnsi="Franklin Gothic Heavy" w:cs="Franklin Gothic Heavy"/>
      <w:sz w:val="8"/>
      <w:szCs w:val="8"/>
    </w:rPr>
  </w:style>
  <w:style w:type="paragraph" w:customStyle="1" w:styleId="Gvdemetni21">
    <w:name w:val="Gövde metni (2)1"/>
    <w:basedOn w:val="Normal"/>
    <w:link w:val="Gvdemetni2"/>
    <w:pPr>
      <w:shd w:val="clear" w:color="auto" w:fill="FFFFFF"/>
      <w:spacing w:line="240" w:lineRule="exact"/>
      <w:jc w:val="center"/>
    </w:pPr>
    <w:rPr>
      <w:rFonts w:ascii="Times New Roman" w:eastAsia="Times New Roman" w:hAnsi="Times New Roman" w:cs="Times New Roman"/>
    </w:rPr>
  </w:style>
  <w:style w:type="paragraph" w:customStyle="1" w:styleId="stbilgiveyaaltbilgi1">
    <w:name w:val="Üst bilgi veya alt bilgi1"/>
    <w:basedOn w:val="Normal"/>
    <w:link w:val="stbilgiveyaaltbilgi"/>
    <w:pPr>
      <w:shd w:val="clear" w:color="auto" w:fill="FFFFFF"/>
      <w:spacing w:line="144" w:lineRule="exact"/>
    </w:pPr>
    <w:rPr>
      <w:rFonts w:ascii="Times New Roman" w:eastAsia="Times New Roman" w:hAnsi="Times New Roman" w:cs="Times New Roman"/>
      <w:sz w:val="13"/>
      <w:szCs w:val="13"/>
    </w:rPr>
  </w:style>
  <w:style w:type="paragraph" w:customStyle="1" w:styleId="Gvdemetni30">
    <w:name w:val="Gövde metni (3)"/>
    <w:basedOn w:val="Normal"/>
    <w:link w:val="Gvdemetni3"/>
    <w:pPr>
      <w:shd w:val="clear" w:color="auto" w:fill="FFFFFF"/>
      <w:spacing w:before="280" w:line="317" w:lineRule="exact"/>
      <w:ind w:firstLine="780"/>
      <w:jc w:val="both"/>
    </w:pPr>
    <w:rPr>
      <w:rFonts w:ascii="Times New Roman" w:eastAsia="Times New Roman" w:hAnsi="Times New Roman" w:cs="Times New Roman"/>
      <w:i/>
      <w:iCs/>
    </w:rPr>
  </w:style>
  <w:style w:type="paragraph" w:customStyle="1" w:styleId="Gvdemetni41">
    <w:name w:val="Gövde metni (4)1"/>
    <w:basedOn w:val="Normal"/>
    <w:link w:val="Gvdemetni4"/>
    <w:pPr>
      <w:shd w:val="clear" w:color="auto" w:fill="FFFFFF"/>
      <w:spacing w:before="220" w:after="220" w:line="200" w:lineRule="exact"/>
      <w:jc w:val="center"/>
    </w:pPr>
    <w:rPr>
      <w:rFonts w:ascii="Times New Roman" w:eastAsia="Times New Roman" w:hAnsi="Times New Roman" w:cs="Times New Roman"/>
      <w:sz w:val="18"/>
      <w:szCs w:val="18"/>
    </w:rPr>
  </w:style>
  <w:style w:type="paragraph" w:customStyle="1" w:styleId="Balk10">
    <w:name w:val="Başlık #1"/>
    <w:basedOn w:val="Normal"/>
    <w:link w:val="Balk1"/>
    <w:pPr>
      <w:shd w:val="clear" w:color="auto" w:fill="FFFFFF"/>
      <w:spacing w:line="240" w:lineRule="exact"/>
      <w:jc w:val="center"/>
      <w:outlineLvl w:val="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8A23EE"/>
    <w:rPr>
      <w:rFonts w:ascii="Tahoma" w:hAnsi="Tahoma" w:cs="Tahoma"/>
      <w:sz w:val="16"/>
      <w:szCs w:val="16"/>
    </w:rPr>
  </w:style>
  <w:style w:type="character" w:customStyle="1" w:styleId="BalonMetniChar">
    <w:name w:val="Balon Metni Char"/>
    <w:basedOn w:val="VarsaylanParagrafYazTipi"/>
    <w:link w:val="BalonMetni"/>
    <w:uiPriority w:val="99"/>
    <w:semiHidden/>
    <w:rsid w:val="008A23E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0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8D5A67-AA0E-41B1-BC86-5E4B6EBC0C37}"/>
</file>

<file path=customXml/itemProps2.xml><?xml version="1.0" encoding="utf-8"?>
<ds:datastoreItem xmlns:ds="http://schemas.openxmlformats.org/officeDocument/2006/customXml" ds:itemID="{002A9FF5-E216-4A2E-9E5F-7171E4AD07E7}"/>
</file>

<file path=customXml/itemProps3.xml><?xml version="1.0" encoding="utf-8"?>
<ds:datastoreItem xmlns:ds="http://schemas.openxmlformats.org/officeDocument/2006/customXml" ds:itemID="{DAA4795E-1137-4329-BFBE-7221E581E87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3</cp:revision>
  <dcterms:created xsi:type="dcterms:W3CDTF">2018-03-20T08:34:00Z</dcterms:created>
  <dcterms:modified xsi:type="dcterms:W3CDTF">2018-03-20T10:41:00Z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